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8"/>
        <w:spacing w:line="600" w:lineRule="exact"/>
        <w:jc w:val="center"/>
        <w:rPr>
          <w:rFonts w:ascii="SimSun" w:hAnsi="SimSun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巩固民族团结进步示范县工作经费+峨边彝族自治县民族宗教事务局2022年乡村振兴补助资金项目（县级）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</w:t>
      </w:r>
      <w:r>
        <w:rPr>
          <w:rFonts w:hint="eastAsia" w:ascii="FangSong_GB2312" w:hAnsi="SimSun"/>
          <w:color w:val="auto"/>
          <w:lang w:val="zh-CN"/>
        </w:rPr>
        <w:t>项目主管部门（单位）在该项目管理中的职能。</w:t>
      </w:r>
      <w:r>
        <w:rPr>
          <w:rFonts w:hint="eastAsia" w:ascii="FangSong_GB2312" w:hAnsi="SimSun"/>
          <w:color w:val="auto"/>
          <w:lang w:val="en-US" w:eastAsia="zh-CN"/>
        </w:rPr>
        <w:t>我单位社会事务股作为该项目实施的责任人，办公室为该项目的监督责任人。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FangSong_GB2312" w:hAnsi="SimSun" w:eastAsia="FangSong_GB2312"/>
          <w:lang w:val="en-US" w:eastAsia="zh-CN"/>
        </w:rPr>
      </w:pPr>
      <w:r>
        <w:rPr>
          <w:rFonts w:hint="eastAsia" w:ascii="FangSong_GB2312" w:hAnsi="SimSun"/>
          <w:lang w:val="zh-CN"/>
        </w:rPr>
        <w:t>2．项目立项、资金申报的依据。</w:t>
      </w:r>
      <w:r>
        <w:rPr>
          <w:rFonts w:hint="eastAsia" w:ascii="FangSong_GB2312" w:hAnsi="SimSun"/>
          <w:lang w:val="en-US" w:eastAsia="zh-CN"/>
        </w:rPr>
        <w:t>根据</w:t>
      </w:r>
      <w:r>
        <w:rPr>
          <w:rFonts w:hint="eastAsia" w:ascii="FangSong_GB2312" w:hAnsi="SimSun"/>
          <w:lang w:val="zh-CN"/>
        </w:rPr>
        <w:t>做好民族事务的相关要求</w:t>
      </w:r>
      <w:r>
        <w:rPr>
          <w:rFonts w:hint="eastAsia" w:ascii="FangSong_GB2312" w:hAnsi="SimSun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</w:t>
      </w:r>
      <w:r>
        <w:rPr>
          <w:rFonts w:hint="eastAsia" w:ascii="FangSong_GB2312" w:hAnsi="SimSun" w:cs="Times New Roman"/>
          <w:lang w:val="zh-CN"/>
        </w:rPr>
        <w:t>资金管理办法</w:t>
      </w:r>
      <w:r>
        <w:rPr>
          <w:rFonts w:hint="eastAsia" w:ascii="FangSong_GB2312" w:hAnsi="SimSun" w:cs="Times New Roman"/>
          <w:lang w:val="en-US" w:eastAsia="zh-CN"/>
        </w:rPr>
        <w:t>的</w:t>
      </w:r>
      <w:r>
        <w:rPr>
          <w:rFonts w:hint="eastAsia" w:ascii="FangSong_GB2312" w:hAnsi="SimSun" w:cs="Times New Roman"/>
          <w:lang w:val="zh-CN"/>
        </w:rPr>
        <w:t>制定</w:t>
      </w:r>
      <w:r>
        <w:rPr>
          <w:rFonts w:hint="eastAsia" w:ascii="FangSong_GB2312" w:hAnsi="SimSun" w:cs="Times New Roman"/>
          <w:lang w:val="en-US" w:eastAsia="zh-CN"/>
        </w:rPr>
        <w:t>和</w:t>
      </w:r>
      <w:r>
        <w:rPr>
          <w:rFonts w:hint="eastAsia" w:ascii="FangSong_GB2312" w:hAnsi="SimSun" w:cs="Times New Roman"/>
          <w:lang w:val="zh-CN" w:eastAsia="zh-CN"/>
        </w:rPr>
        <w:t>预算支出内容与</w:t>
      </w:r>
      <w:r>
        <w:rPr>
          <w:rFonts w:hint="eastAsia" w:ascii="FangSong_GB2312" w:hAnsi="SimSun" w:cs="Times New Roman"/>
          <w:lang w:val="en-US" w:eastAsia="zh-CN"/>
        </w:rPr>
        <w:t>我单位</w:t>
      </w:r>
      <w:r>
        <w:rPr>
          <w:rFonts w:hint="eastAsia" w:ascii="FangSong_GB2312" w:hAnsi="SimSun" w:cs="Times New Roman"/>
          <w:lang w:val="zh-CN" w:eastAsia="zh-CN"/>
        </w:rPr>
        <w:t>职责相匹配，预算测算依据充分，符合定额等支出标准，预算明细清晰明确，</w:t>
      </w:r>
      <w:r>
        <w:rPr>
          <w:rFonts w:hint="eastAsia" w:ascii="FangSong_GB2312" w:hAnsi="SimSun" w:eastAsia="FangSong_GB2312"/>
          <w:b w:val="0"/>
          <w:bCs w:val="0"/>
          <w:sz w:val="32"/>
          <w:szCs w:val="32"/>
          <w:lang w:eastAsia="zh-CN"/>
        </w:rPr>
        <w:t>遵循预</w:t>
      </w:r>
      <w:r>
        <w:rPr>
          <w:rFonts w:hint="eastAsia" w:ascii="FangSong_GB2312" w:hAnsi="SimSun"/>
          <w:b w:val="0"/>
          <w:bCs w:val="0"/>
          <w:sz w:val="32"/>
          <w:szCs w:val="32"/>
          <w:lang w:val="en-US" w:eastAsia="zh-CN"/>
        </w:rPr>
        <w:t>财经相关制度，</w:t>
      </w:r>
      <w:r>
        <w:rPr>
          <w:rFonts w:hint="eastAsia" w:ascii="FangSong_GB2312" w:hAnsi="SimSun" w:eastAsia="FangSong_GB2312"/>
          <w:b w:val="0"/>
          <w:bCs w:val="0"/>
          <w:sz w:val="32"/>
          <w:szCs w:val="32"/>
          <w:lang w:eastAsia="zh-CN"/>
        </w:rPr>
        <w:t>遵循勤俭办事、量力而为的原则。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4．资金分配的原则及考虑因素。</w:t>
      </w:r>
      <w:r>
        <w:rPr>
          <w:rFonts w:hint="eastAsia" w:ascii="FangSong_GB2312" w:hAnsi="SimSun"/>
          <w:color w:val="auto"/>
          <w:lang w:val="zh-CN"/>
        </w:rPr>
        <w:t>资金分配</w:t>
      </w:r>
      <w:r>
        <w:rPr>
          <w:rFonts w:hint="eastAsia" w:ascii="FangSong_GB2312" w:hAnsi="SimSun"/>
          <w:color w:val="auto"/>
          <w:lang w:val="en-US" w:eastAsia="zh-CN"/>
        </w:rPr>
        <w:t>原则根据业务工作难度系数化及工作量化原则，考虑因素为开展工作的难度、业务工作强度、业务工作数量频次等。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1．项目主要内容。</w:t>
      </w:r>
      <w:r>
        <w:rPr>
          <w:rFonts w:hint="eastAsia" w:ascii="FangSong_GB2312" w:hAnsi="SimSun"/>
          <w:lang w:val="en-US" w:eastAsia="zh-CN"/>
        </w:rPr>
        <w:t>该项目主要用于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巩固民族团结进步示范县工作经费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峨边彝族自治县民族宗教事务局2022年乡村振兴补助资金项目（县级）</w:t>
      </w:r>
      <w:r>
        <w:rPr>
          <w:rFonts w:hint="eastAsia" w:ascii="FangSong_GB2312" w:hAnsi="SimSun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FangSong_GB2312" w:cs="Times New Roman"/>
          <w:lang w:val="zh-CN" w:eastAsia="zh-CN"/>
        </w:rPr>
      </w:pPr>
      <w:r>
        <w:rPr>
          <w:rFonts w:hint="eastAsia" w:ascii="FangSong_GB2312" w:hAnsi="SimSun"/>
          <w:lang w:val="zh-CN"/>
        </w:rPr>
        <w:t>2．项目具体绩效目标，</w:t>
      </w:r>
      <w:r>
        <w:rPr>
          <w:rFonts w:hint="eastAsia" w:ascii="FangSong_GB2312" w:hAnsi="SimSun" w:cs="Times New Roman"/>
          <w:lang w:val="zh-CN"/>
        </w:rPr>
        <w:t>为解决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巩固民族团结进步示范县工作经费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峨边彝族自治县民族宗教事务局2022年乡村振兴补助资金项目（县级）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color w:val="auto"/>
          <w:lang w:val="zh-CN"/>
        </w:rPr>
      </w:pPr>
      <w:r>
        <w:rPr>
          <w:rFonts w:hint="eastAsia" w:ascii="FangSong_GB2312" w:hAnsi="SimSun"/>
          <w:lang w:val="zh-CN"/>
        </w:rPr>
        <w:t>3．</w:t>
      </w:r>
      <w:r>
        <w:rPr>
          <w:rFonts w:hint="eastAsia" w:ascii="FangSong_GB2312" w:hAnsi="SimSun"/>
          <w:color w:val="auto"/>
          <w:lang w:val="zh-CN"/>
        </w:rPr>
        <w:t>分析评价申报内容是实际相符，申报目标</w:t>
      </w:r>
      <w:r>
        <w:rPr>
          <w:rFonts w:hint="eastAsia" w:ascii="FangSong_GB2312" w:hAnsi="SimSun"/>
          <w:color w:val="auto"/>
          <w:lang w:val="en-US" w:eastAsia="zh-CN"/>
        </w:rPr>
        <w:t>较为</w:t>
      </w:r>
      <w:r>
        <w:rPr>
          <w:rFonts w:hint="eastAsia" w:ascii="FangSong_GB2312" w:hAnsi="SimSun"/>
          <w:color w:val="auto"/>
          <w:lang w:val="zh-CN"/>
        </w:rPr>
        <w:t>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/>
        </w:rPr>
        <w:t>项目绩效自评</w:t>
      </w:r>
      <w:r>
        <w:rPr>
          <w:rFonts w:hint="eastAsia" w:ascii="FangSong_GB2312" w:hAnsi="SimSun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该项目资金属县级资金，</w:t>
      </w:r>
      <w:r>
        <w:rPr>
          <w:rFonts w:hint="eastAsia" w:ascii="FangSong_GB2312" w:hAnsi="SimSun"/>
          <w:color w:val="auto"/>
          <w:lang w:val="zh-CN"/>
        </w:rPr>
        <w:t>项目资金</w:t>
      </w:r>
      <w:r>
        <w:rPr>
          <w:rFonts w:hint="eastAsia" w:ascii="FangSong_GB2312" w:hAnsi="SimSun"/>
          <w:color w:val="auto"/>
          <w:lang w:val="en-US" w:eastAsia="zh-CN"/>
        </w:rPr>
        <w:t>发放下达按照财政流程经业务科室审核、预算科室审核、国库审核审定；资金使用据实向财政申请。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FangSong_GB2312" w:hAnsi="SimSun"/>
          <w:lang w:val="en-US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巩固民族团结进步示范县工作经费+峨边彝族自治县民族宗教事务局2022年乡村振兴补助资金项目（县级）</w:t>
      </w:r>
      <w:r>
        <w:rPr>
          <w:rFonts w:hint="eastAsia" w:ascii="FangSong_GB2312" w:hAnsi="SimSun"/>
          <w:u w:val="none"/>
          <w:lang w:val="en-US" w:eastAsia="zh-CN"/>
        </w:rPr>
        <w:t>在</w:t>
      </w:r>
      <w:r>
        <w:rPr>
          <w:rFonts w:hint="eastAsia" w:ascii="FangSong_GB2312" w:hAnsi="SimSun"/>
          <w:lang w:val="zh-CN"/>
        </w:rPr>
        <w:t>资金计划的基础上，财政安排</w:t>
      </w:r>
      <w:r>
        <w:rPr>
          <w:rFonts w:hint="eastAsia" w:ascii="FangSong_GB2312" w:hAnsi="SimSun"/>
          <w:lang w:val="en-US" w:eastAsia="zh-CN"/>
        </w:rPr>
        <w:t>26.93万元</w:t>
      </w:r>
      <w:r>
        <w:rPr>
          <w:rFonts w:hint="eastAsia" w:ascii="FangSong_GB2312" w:hAnsi="SimSun"/>
          <w:lang w:val="zh-CN"/>
        </w:rPr>
        <w:t>，分别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巩固民族团结进步示范县工作经费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7.03万元，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峨边彝族自治县民族宗教事务局2022年乡村振兴补助资金项目（县级）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19.9万元。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color w:val="auto"/>
          <w:lang w:val="en-US" w:eastAsia="zh-CN"/>
        </w:rPr>
      </w:pPr>
      <w:r>
        <w:rPr>
          <w:rFonts w:hint="eastAsia" w:ascii="KaiTi_GB2312" w:hAnsi="SimSun" w:eastAsia="KaiTi_GB2312"/>
          <w:lang w:val="zh-CN"/>
        </w:rPr>
        <w:t>2．资金到位。截至2022年</w:t>
      </w:r>
      <w:r>
        <w:rPr>
          <w:rFonts w:hint="eastAsia" w:ascii="FangSong_GB2312" w:hAnsi="SimSun"/>
          <w:u w:val="none"/>
          <w:lang w:val="en-US" w:eastAsia="zh-CN"/>
        </w:rPr>
        <w:t>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固民族团结进步示范县工作经费+峨边彝族自治县民族宗教事务局2022年乡村振兴补助资金项目（县级）</w:t>
      </w:r>
      <w:r>
        <w:rPr>
          <w:rFonts w:hint="eastAsia" w:ascii="FangSong_GB2312" w:hAnsi="SimSun"/>
          <w:lang w:val="zh-CN"/>
        </w:rPr>
        <w:t>到位</w:t>
      </w:r>
      <w:r>
        <w:rPr>
          <w:rFonts w:hint="eastAsia" w:ascii="FangSong_GB2312" w:hAnsi="SimSun"/>
          <w:lang w:val="en-US" w:eastAsia="zh-CN"/>
        </w:rPr>
        <w:t>26.93万元</w:t>
      </w:r>
      <w:r>
        <w:rPr>
          <w:rFonts w:hint="eastAsia" w:ascii="FangSong_GB2312" w:hAnsi="SimSun"/>
          <w:lang w:val="zh-CN"/>
        </w:rPr>
        <w:t>。资金到位情况与资金计划进行比对，到位比例</w:t>
      </w:r>
      <w:r>
        <w:rPr>
          <w:rFonts w:hint="eastAsia" w:ascii="FangSong_GB2312" w:hAnsi="SimSun"/>
          <w:lang w:val="en-US" w:eastAsia="zh-CN"/>
        </w:rPr>
        <w:t>100%。</w:t>
      </w:r>
    </w:p>
    <w:p>
      <w:pPr>
        <w:spacing w:line="560" w:lineRule="exact"/>
        <w:ind w:firstLine="640" w:firstLineChars="200"/>
        <w:rPr>
          <w:rFonts w:hint="eastAsia" w:ascii="FangSong_GB2312" w:hAnsi="SimSun" w:cs="Times New Roman"/>
          <w:color w:val="auto"/>
          <w:lang w:val="zh-CN"/>
        </w:rPr>
      </w:pPr>
      <w:r>
        <w:rPr>
          <w:rFonts w:hint="eastAsia" w:ascii="KaiTi_GB2312" w:hAnsi="SimSun" w:eastAsia="KaiTi_GB2312"/>
          <w:lang w:val="zh-CN"/>
        </w:rPr>
        <w:t>3．资金使用。截至2022年</w:t>
      </w:r>
      <w:r>
        <w:rPr>
          <w:rFonts w:hint="eastAsia" w:ascii="FangSong_GB2312" w:hAnsi="SimSun"/>
          <w:u w:val="none"/>
          <w:lang w:val="en-US" w:eastAsia="zh-CN"/>
        </w:rPr>
        <w:t>12月31日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固民族团结进步示范县工作经费+峨边彝族自治县民族宗教事务局2022年乡村振兴补助资金项目（县级）</w:t>
      </w:r>
      <w:r>
        <w:rPr>
          <w:rFonts w:hint="eastAsia" w:ascii="FangSong_GB2312" w:hAnsi="SimSun"/>
          <w:u w:val="none"/>
          <w:lang w:val="en-US" w:eastAsia="zh-CN"/>
        </w:rPr>
        <w:t>在</w:t>
      </w:r>
      <w:r>
        <w:rPr>
          <w:rFonts w:hint="eastAsia" w:ascii="FangSong_GB2312" w:hAnsi="SimSun"/>
          <w:lang w:val="zh-CN"/>
        </w:rPr>
        <w:t>资金计划的基础上，财政支付</w:t>
      </w:r>
      <w:r>
        <w:rPr>
          <w:rFonts w:hint="eastAsia" w:ascii="FangSong_GB2312" w:hAnsi="SimSun"/>
          <w:lang w:val="en-US" w:eastAsia="zh-CN"/>
        </w:rPr>
        <w:t>26.93万元，使用比例100%。</w:t>
      </w:r>
      <w:r>
        <w:rPr>
          <w:rFonts w:hint="eastAsia" w:ascii="FangSong_GB2312" w:hAnsi="FangSong_GB2312" w:eastAsia="FangSong_GB2312" w:cs="FangSong_GB2312"/>
          <w:color w:val="000000"/>
          <w:kern w:val="0"/>
          <w:sz w:val="32"/>
          <w:szCs w:val="32"/>
          <w:lang w:eastAsia="zh-CN"/>
        </w:rPr>
        <w:t>按照相关经费支出标准规定，</w:t>
      </w:r>
      <w:r>
        <w:rPr>
          <w:rFonts w:hint="eastAsia" w:ascii="FangSong_GB2312" w:hAns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支出依据合规合法，支出资金与预算相符</w:t>
      </w:r>
      <w:r>
        <w:rPr>
          <w:rFonts w:hint="eastAsia" w:ascii="FangSong_GB2312" w:hAnsi="FangSong_GB2312" w:cs="FangSong_GB2312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FangSong_GB2312" w:hAnsi="SimSun" w:cs="Times New Roman"/>
          <w:color w:val="auto"/>
          <w:lang w:val="en-US" w:eastAsia="zh-CN"/>
        </w:rPr>
        <w:t>资金使用</w:t>
      </w:r>
      <w:r>
        <w:rPr>
          <w:rFonts w:hint="eastAsia" w:ascii="FangSong_GB2312" w:hAnsi="SimSun" w:cs="Times New Roman"/>
          <w:color w:val="auto"/>
          <w:lang w:val="zh-CN"/>
        </w:rPr>
        <w:t>有效性</w:t>
      </w:r>
      <w:r>
        <w:rPr>
          <w:rFonts w:hint="eastAsia" w:ascii="FangSong_GB2312" w:hAnsi="SimSun" w:cs="Times New Roman"/>
          <w:color w:val="auto"/>
          <w:lang w:val="en-US" w:eastAsia="zh-CN"/>
        </w:rPr>
        <w:t>基本达到预定效果</w:t>
      </w:r>
      <w:r>
        <w:rPr>
          <w:rFonts w:hint="eastAsia" w:ascii="FangSong_GB2312" w:hAnsi="SimSun" w:cs="Times New Roman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color w:val="auto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我</w:t>
      </w:r>
      <w:r>
        <w:rPr>
          <w:rFonts w:hint="eastAsia" w:ascii="FangSong_GB2312" w:hAnsi="SimSun"/>
          <w:color w:val="auto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  <w:r>
        <w:rPr>
          <w:rFonts w:hint="eastAsia" w:ascii="FangSong_GB2312" w:hAnsi="SimSun"/>
          <w:color w:val="auto"/>
          <w:lang w:val="en-US" w:eastAsia="zh-CN"/>
        </w:rPr>
        <w:t>该项目按照支出科目分类管理及有关规定执行，由社会事务股组织实施、分管领导审核确认工作事实、主要领导审定的方式实施。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（二）项目管理情况。</w:t>
      </w:r>
      <w:r>
        <w:rPr>
          <w:rFonts w:hint="eastAsia" w:ascii="FangSong_GB2312" w:hAnsi="SimSun"/>
          <w:color w:val="auto"/>
          <w:lang w:val="zh-CN"/>
        </w:rPr>
        <w:t>结合</w:t>
      </w: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/>
        </w:rPr>
        <w:t>项目特点，</w:t>
      </w:r>
      <w:r>
        <w:rPr>
          <w:rFonts w:hint="eastAsia" w:ascii="FangSong_GB2312" w:hAnsi="SimSun"/>
          <w:color w:val="auto"/>
          <w:lang w:val="en-US" w:eastAsia="zh-CN"/>
        </w:rPr>
        <w:t>我单位均按照据实据效的方式开展，严格执行预算法、财政资金支付有关规定。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（三）项目监管情况。</w:t>
      </w:r>
      <w:r>
        <w:rPr>
          <w:rFonts w:hint="eastAsia" w:ascii="FangSong_GB2312" w:hAnsi="SimSun"/>
          <w:color w:val="auto"/>
          <w:lang w:val="en-US" w:eastAsia="zh-CN"/>
        </w:rPr>
        <w:t>我单位严格</w:t>
      </w:r>
      <w:r>
        <w:rPr>
          <w:rFonts w:hint="eastAsia" w:ascii="FangSong_GB2312" w:hAnsi="SimSun"/>
          <w:color w:val="auto"/>
          <w:lang w:val="zh-CN"/>
        </w:rPr>
        <w:t>项目管理</w:t>
      </w:r>
      <w:r>
        <w:rPr>
          <w:rFonts w:hint="eastAsia" w:ascii="FangSong_GB2312" w:hAnsi="SimSun"/>
          <w:color w:val="auto"/>
          <w:lang w:val="zh-CN" w:eastAsia="zh-CN"/>
        </w:rPr>
        <w:t>，</w:t>
      </w:r>
      <w:r>
        <w:rPr>
          <w:rFonts w:hint="eastAsia" w:ascii="FangSong_GB2312" w:hAnsi="SimSun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用于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固民族团结进步示范县工作经费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峨边彝族自治县民族宗教事务局2022年乡村振兴补助资金项目（县级）</w:t>
      </w:r>
      <w:r>
        <w:rPr>
          <w:rFonts w:hint="eastAsia" w:ascii="FangSong_GB2312" w:hAnsi="SimSun"/>
          <w:u w:val="none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社会效益：维护社会稳定及民族团结</w:t>
      </w:r>
      <w:r>
        <w:rPr>
          <w:rFonts w:hint="eastAsia" w:ascii="FangSong_GB2312" w:hAnsi="SimSun"/>
          <w:lang w:val="zh-CN"/>
        </w:rPr>
        <w:tab/>
      </w:r>
      <w:r>
        <w:rPr>
          <w:rFonts w:hint="eastAsia" w:ascii="FangSong_GB2312" w:hAnsi="SimSun"/>
          <w:lang w:val="zh-CN"/>
        </w:rPr>
        <w:t>达100%</w:t>
      </w:r>
      <w:r>
        <w:rPr>
          <w:rFonts w:hint="eastAsia" w:ascii="FangSong_GB2312" w:hAnsi="SimSun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FangSong_GB2312" w:hAnsi="SimSun" w:eastAsia="FangSong_GB2312"/>
          <w:lang w:val="en-US" w:eastAsia="zh-CN"/>
        </w:rPr>
      </w:pPr>
      <w:r>
        <w:rPr>
          <w:rFonts w:hint="eastAsia" w:ascii="FangSong_GB2312" w:hAnsi="SimSun"/>
          <w:lang w:val="zh-CN"/>
        </w:rPr>
        <w:t>服务对象满意度：群众满意度达</w:t>
      </w:r>
      <w:r>
        <w:rPr>
          <w:rFonts w:hint="eastAsia" w:ascii="FangSong_GB2312" w:hAnsi="SimSun"/>
          <w:lang w:val="en-US" w:eastAsia="zh-CN"/>
        </w:rPr>
        <w:t>95%。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bdr w:val="single" w:color="auto" w:sz="4" w:space="0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/>
        </w:rPr>
        <w:t>项目</w:t>
      </w:r>
      <w:r>
        <w:rPr>
          <w:rFonts w:hint="eastAsia" w:ascii="FangSong_GB2312" w:hAnsi="SimSun"/>
          <w:color w:val="auto"/>
          <w:lang w:val="en-US" w:eastAsia="zh-CN"/>
        </w:rPr>
        <w:t>结合</w:t>
      </w:r>
      <w:r>
        <w:rPr>
          <w:rFonts w:hint="eastAsia" w:ascii="FangSong_GB2312" w:hAnsi="SimSun"/>
          <w:color w:val="auto"/>
          <w:lang w:val="zh-CN"/>
        </w:rPr>
        <w:t>自身特点、评价重点及管理办法等要求，</w:t>
      </w:r>
      <w:r>
        <w:rPr>
          <w:rFonts w:hint="eastAsia" w:ascii="FangSong_GB2312" w:hAnsi="SimSun"/>
          <w:color w:val="auto"/>
          <w:lang w:val="en-US" w:eastAsia="zh-CN"/>
        </w:rPr>
        <w:t>按照</w:t>
      </w:r>
      <w:r>
        <w:rPr>
          <w:rFonts w:hint="eastAsia" w:ascii="FangSong_GB2312" w:hAnsi="SimSun"/>
          <w:color w:val="auto"/>
          <w:lang w:val="zh-CN"/>
        </w:rPr>
        <w:t>项目支出绩效评价指标体系对项目</w:t>
      </w:r>
      <w:r>
        <w:rPr>
          <w:rFonts w:hint="eastAsia" w:ascii="FangSong_GB2312" w:hAnsi="SimSun"/>
          <w:color w:val="auto"/>
          <w:lang w:val="en-US" w:eastAsia="zh-CN"/>
        </w:rPr>
        <w:t>逐项分析评价</w:t>
      </w:r>
      <w:r>
        <w:rPr>
          <w:rFonts w:hint="eastAsia" w:ascii="FangSong_GB2312" w:hAnsi="SimSun"/>
          <w:color w:val="auto"/>
          <w:lang w:val="zh-CN"/>
        </w:rPr>
        <w:t>。</w:t>
      </w: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 w:eastAsia="zh-CN"/>
        </w:rPr>
        <w:t>项</w:t>
      </w:r>
      <w:r>
        <w:rPr>
          <w:rFonts w:hint="eastAsia" w:ascii="FangSong_GB2312" w:hAnsi="SimSun"/>
          <w:color w:val="auto"/>
          <w:lang w:val="zh-CN"/>
        </w:rPr>
        <w:t>目决策</w:t>
      </w:r>
      <w:r>
        <w:rPr>
          <w:rFonts w:hint="eastAsia" w:ascii="FangSong_GB2312" w:hAnsi="SimSun"/>
          <w:color w:val="auto"/>
          <w:lang w:val="en-US" w:eastAsia="zh-CN"/>
        </w:rPr>
        <w:t>得分29</w:t>
      </w:r>
      <w:r>
        <w:rPr>
          <w:rFonts w:hint="eastAsia" w:ascii="FangSong_GB2312" w:hAnsi="SimSun"/>
          <w:color w:val="auto"/>
          <w:lang w:val="zh-CN"/>
        </w:rPr>
        <w:t>分、项目执行</w:t>
      </w:r>
      <w:r>
        <w:rPr>
          <w:rFonts w:hint="eastAsia" w:ascii="FangSong_GB2312" w:hAnsi="SimSun"/>
          <w:color w:val="auto"/>
          <w:lang w:val="en-US" w:eastAsia="zh-CN"/>
        </w:rPr>
        <w:t>28</w:t>
      </w:r>
      <w:r>
        <w:rPr>
          <w:rFonts w:hint="eastAsia" w:ascii="FangSong_GB2312" w:hAnsi="SimSun"/>
          <w:color w:val="auto"/>
          <w:lang w:val="zh-CN"/>
        </w:rPr>
        <w:t>分、目标实现</w:t>
      </w:r>
      <w:r>
        <w:rPr>
          <w:rFonts w:hint="eastAsia" w:ascii="FangSong_GB2312" w:hAnsi="SimSun"/>
          <w:color w:val="auto"/>
          <w:lang w:val="en-US" w:eastAsia="zh-CN"/>
        </w:rPr>
        <w:t>15</w:t>
      </w:r>
      <w:r>
        <w:rPr>
          <w:rFonts w:hint="eastAsia" w:ascii="FangSong_GB2312" w:hAnsi="SimSun"/>
          <w:color w:val="auto"/>
          <w:lang w:val="zh-CN"/>
        </w:rPr>
        <w:t>分、项目效果</w:t>
      </w:r>
      <w:r>
        <w:rPr>
          <w:rFonts w:hint="eastAsia" w:ascii="FangSong_GB2312" w:hAnsi="SimSun"/>
          <w:color w:val="auto"/>
          <w:lang w:val="en-US" w:eastAsia="zh-CN"/>
        </w:rPr>
        <w:t>得分24分</w:t>
      </w:r>
      <w:r>
        <w:rPr>
          <w:rFonts w:hint="eastAsia" w:ascii="FangSong_GB2312" w:hAnsi="SimSun"/>
          <w:color w:val="auto"/>
          <w:lang w:val="zh-CN"/>
        </w:rPr>
        <w:t>。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项目总体支出绩效得分为94分，总体</w:t>
      </w:r>
      <w:bookmarkStart w:id="0" w:name="_GoBack"/>
      <w:bookmarkEnd w:id="0"/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效果良好。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无。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无</w:t>
      </w:r>
      <w:r>
        <w:rPr>
          <w:rFonts w:hint="eastAsia" w:ascii="FangSong_GB2312" w:hAnsi="SimSun"/>
          <w:lang w:val="zh-CN"/>
        </w:rPr>
        <w:t>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83ADEF-5FF6-4A18-BBB6-C9779121B3B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55D0E35-E348-49AD-B809-C75820ED55F8}"/>
  </w:font>
  <w:font w:name="SimSun">
    <w:panose1 w:val="02010600030101010101"/>
    <w:charset w:val="50"/>
    <w:family w:val="auto"/>
    <w:pitch w:val="default"/>
    <w:sig w:usb0="00000003" w:usb1="288F0000" w:usb2="00000006" w:usb3="00000000" w:csb0="00040001" w:csb1="00000000"/>
    <w:embedRegular r:id="rId3" w:fontKey="{BF045EAC-553E-47D8-9E29-9C59768B39CF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F882AD6-5473-4E75-847C-5055B8CD9E66}"/>
  </w:font>
  <w:font w:name="等线">
    <w:altName w:val="Microsoft YaHei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6485C39A-05B1-4BA3-9594-75E0C9CCA8DF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A2F0CA4-37E1-4E3C-A1A3-CE2A22D087DE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9C560FB"/>
    <w:rsid w:val="0D466608"/>
    <w:rsid w:val="0D850CC5"/>
    <w:rsid w:val="105A0E47"/>
    <w:rsid w:val="10B37AE0"/>
    <w:rsid w:val="134618FE"/>
    <w:rsid w:val="1636089A"/>
    <w:rsid w:val="19B536B9"/>
    <w:rsid w:val="1E850269"/>
    <w:rsid w:val="24BC0A0D"/>
    <w:rsid w:val="28A05104"/>
    <w:rsid w:val="291C455A"/>
    <w:rsid w:val="294F1C8A"/>
    <w:rsid w:val="2A502512"/>
    <w:rsid w:val="316744AC"/>
    <w:rsid w:val="36926D0C"/>
    <w:rsid w:val="36A430DE"/>
    <w:rsid w:val="38D96573"/>
    <w:rsid w:val="414A628B"/>
    <w:rsid w:val="4237671E"/>
    <w:rsid w:val="431D18F6"/>
    <w:rsid w:val="43AC5B4A"/>
    <w:rsid w:val="468B1E51"/>
    <w:rsid w:val="499A4CF0"/>
    <w:rsid w:val="51E52FEE"/>
    <w:rsid w:val="578C4911"/>
    <w:rsid w:val="673E27F9"/>
    <w:rsid w:val="677652F7"/>
    <w:rsid w:val="6C8E68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Body Text"/>
    <w:basedOn w:val="1"/>
    <w:autoRedefine/>
    <w:qFormat/>
    <w:uiPriority w:val="0"/>
    <w:rPr>
      <w:rFonts w:ascii="等线" w:hAnsi="等线" w:eastAsia="等线" w:cs="Times New Roman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2024-03-28T02:54:27Z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